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125"/>
        <w:gridCol w:w="1979"/>
        <w:gridCol w:w="3995"/>
      </w:tblGrid>
      <w:tr w:rsidR="001C03E7" w:rsidRPr="001C03E7" w:rsidTr="00095493">
        <w:trPr>
          <w:trHeight w:val="342"/>
          <w:jc w:val="center"/>
        </w:trPr>
        <w:tc>
          <w:tcPr>
            <w:tcW w:w="1727" w:type="dxa"/>
            <w:hideMark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252378" w:rsidRPr="001C03E7" w:rsidRDefault="008F5EEB" w:rsidP="00931BB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المحاسبة </w:t>
            </w:r>
            <w:r w:rsidR="003308A1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المتوسطة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</w:t>
            </w:r>
            <w:r w:rsidR="00931BBA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(</w:t>
            </w:r>
            <w:r w:rsidR="00931BBA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  <w:r w:rsidR="00931BBA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)</w:t>
            </w:r>
          </w:p>
        </w:tc>
      </w:tr>
      <w:tr w:rsidR="001C03E7" w:rsidRPr="001C03E7" w:rsidTr="00095493">
        <w:trPr>
          <w:trHeight w:val="342"/>
          <w:jc w:val="center"/>
        </w:trPr>
        <w:tc>
          <w:tcPr>
            <w:tcW w:w="1727" w:type="dxa"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099" w:type="dxa"/>
            <w:gridSpan w:val="3"/>
          </w:tcPr>
          <w:p w:rsidR="00252378" w:rsidRPr="001C03E7" w:rsidRDefault="003308A1" w:rsidP="00931BB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Intermediate</w:t>
            </w:r>
            <w:r w:rsidR="008F5EEB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Accounting</w:t>
            </w:r>
            <w:r w:rsidR="00931BBA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( 2 )</w:t>
            </w:r>
          </w:p>
        </w:tc>
      </w:tr>
      <w:tr w:rsidR="0071028E" w:rsidRPr="001C03E7" w:rsidTr="00095493">
        <w:trPr>
          <w:jc w:val="center"/>
        </w:trPr>
        <w:tc>
          <w:tcPr>
            <w:tcW w:w="1727" w:type="dxa"/>
            <w:hideMark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71028E" w:rsidRPr="001C03E7" w:rsidRDefault="001B0E84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المرحلة الثانية</w:t>
            </w:r>
          </w:p>
        </w:tc>
        <w:tc>
          <w:tcPr>
            <w:tcW w:w="1979" w:type="dxa"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1B0E84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الثاني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252378" w:rsidRPr="001C03E7" w:rsidRDefault="00252378" w:rsidP="00410129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252378" w:rsidRPr="001C03E7" w:rsidRDefault="003308A1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3</w:t>
            </w:r>
          </w:p>
        </w:tc>
        <w:tc>
          <w:tcPr>
            <w:tcW w:w="1979" w:type="dxa"/>
          </w:tcPr>
          <w:p w:rsidR="00252378" w:rsidRPr="001C03E7" w:rsidRDefault="008F5EEB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3995" w:type="dxa"/>
          </w:tcPr>
          <w:p w:rsidR="00252378" w:rsidRPr="001C03E7" w:rsidRDefault="008F5EEB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4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232C90" w:rsidRPr="001C03E7" w:rsidRDefault="003308A1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Intermediate Accounting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232C90" w:rsidRPr="003308A1" w:rsidRDefault="003308A1" w:rsidP="00410129">
            <w:pPr>
              <w:spacing w:after="0" w:line="240" w:lineRule="auto"/>
              <w:jc w:val="center"/>
              <w:rPr>
                <w:rFonts w:ascii="Traditional Arabic" w:hAnsi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Frutiger-Light" w:hAnsi="Frutiger-Light" w:cs="Frutiger-Light"/>
                <w:sz w:val="17"/>
                <w:szCs w:val="17"/>
              </w:rPr>
              <w:t xml:space="preserve">Donald E. </w:t>
            </w:r>
            <w:proofErr w:type="spellStart"/>
            <w:r>
              <w:rPr>
                <w:rFonts w:ascii="Frutiger-Light" w:hAnsi="Frutiger-Light" w:cs="Frutiger-Light"/>
                <w:sz w:val="17"/>
                <w:szCs w:val="17"/>
              </w:rPr>
              <w:t>Kieso</w:t>
            </w:r>
            <w:proofErr w:type="spellEnd"/>
            <w:r>
              <w:rPr>
                <w:rFonts w:ascii="Frutiger-Light" w:hAnsi="Frutiger-Light" w:cs="Frutiger-Light"/>
                <w:sz w:val="17"/>
                <w:szCs w:val="17"/>
              </w:rPr>
              <w:t>, and Others</w:t>
            </w:r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</w:tcPr>
          <w:p w:rsidR="00232C90" w:rsidRPr="001C03E7" w:rsidRDefault="005D794D" w:rsidP="005D794D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المحاسبة عن المخزون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السلعي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مفهوم المخزون السلعي في الشركات التجارية والصناعية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</w:tcPr>
          <w:p w:rsidR="003308A1" w:rsidRPr="00197AD2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المحاسبة عن المخزون السلعي وفق نظام الجرد الدوري</w:t>
            </w:r>
          </w:p>
        </w:tc>
      </w:tr>
      <w:tr w:rsidR="005D794D" w:rsidRPr="001C03E7" w:rsidTr="00095493">
        <w:trPr>
          <w:jc w:val="center"/>
        </w:trPr>
        <w:tc>
          <w:tcPr>
            <w:tcW w:w="1727" w:type="dxa"/>
            <w:hideMark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</w:tcPr>
          <w:p w:rsidR="005D794D" w:rsidRPr="00197AD2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المحاسبة عن المخزون السلعي وفق نظام الجرد المستمر</w:t>
            </w:r>
          </w:p>
        </w:tc>
      </w:tr>
      <w:tr w:rsidR="005D794D" w:rsidRPr="001C03E7" w:rsidTr="00095493">
        <w:trPr>
          <w:jc w:val="center"/>
        </w:trPr>
        <w:tc>
          <w:tcPr>
            <w:tcW w:w="1727" w:type="dxa"/>
            <w:hideMark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طرق تقييم المخزون السلعي </w:t>
            </w:r>
            <w:r w:rsidR="007C06C3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والافصاح عنه في الكشوفات المالية</w:t>
            </w:r>
          </w:p>
        </w:tc>
      </w:tr>
      <w:tr w:rsidR="005D794D" w:rsidRPr="001C03E7" w:rsidTr="00095493">
        <w:trPr>
          <w:jc w:val="center"/>
        </w:trPr>
        <w:tc>
          <w:tcPr>
            <w:tcW w:w="1727" w:type="dxa"/>
            <w:hideMark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</w:tcPr>
          <w:p w:rsidR="005D794D" w:rsidRPr="00095493" w:rsidRDefault="007C06C3" w:rsidP="007C06C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المحاسبة عن الاستثمارا</w:t>
            </w:r>
            <w:r>
              <w:rPr>
                <w:rFonts w:ascii="Traditional Arabic" w:hAnsi="Traditional Arabic" w:cs="Traditional Arabic" w:hint="eastAsia"/>
                <w:sz w:val="28"/>
                <w:szCs w:val="28"/>
                <w:rtl/>
                <w:lang w:bidi="ar-IQ"/>
              </w:rPr>
              <w:t>ت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المالية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مفهوم الاستثمارات ، أنواع الأوراق المالية</w:t>
            </w:r>
          </w:p>
        </w:tc>
      </w:tr>
      <w:tr w:rsidR="005D794D" w:rsidRPr="001C03E7" w:rsidTr="00095493">
        <w:trPr>
          <w:jc w:val="center"/>
        </w:trPr>
        <w:tc>
          <w:tcPr>
            <w:tcW w:w="1727" w:type="dxa"/>
            <w:hideMark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</w:tcPr>
          <w:p w:rsidR="005D794D" w:rsidRPr="001C03E7" w:rsidRDefault="007C06C3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المحاسبة عن الاستثمارات في أوراق الدين</w:t>
            </w:r>
          </w:p>
        </w:tc>
      </w:tr>
      <w:tr w:rsidR="005D794D" w:rsidRPr="001C03E7" w:rsidTr="00095493">
        <w:trPr>
          <w:jc w:val="center"/>
        </w:trPr>
        <w:tc>
          <w:tcPr>
            <w:tcW w:w="1727" w:type="dxa"/>
            <w:hideMark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</w:tcPr>
          <w:p w:rsidR="005D794D" w:rsidRPr="001C03E7" w:rsidRDefault="007C06C3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المحاسبة عن الاستثمارات في أوراق الملكية</w:t>
            </w:r>
          </w:p>
        </w:tc>
      </w:tr>
      <w:tr w:rsidR="005D794D" w:rsidRPr="001C03E7" w:rsidTr="00095493">
        <w:trPr>
          <w:jc w:val="center"/>
        </w:trPr>
        <w:tc>
          <w:tcPr>
            <w:tcW w:w="1727" w:type="dxa"/>
            <w:hideMark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</w:tcPr>
          <w:p w:rsidR="005D794D" w:rsidRPr="001C03E7" w:rsidRDefault="007C06C3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تقييم المحفظة الاستثمارية في نهاية الفترة والافصاح عنها في الكشوفات المالية</w:t>
            </w:r>
          </w:p>
        </w:tc>
      </w:tr>
      <w:tr w:rsidR="005D794D" w:rsidRPr="001C03E7" w:rsidTr="00095493">
        <w:trPr>
          <w:jc w:val="center"/>
        </w:trPr>
        <w:tc>
          <w:tcPr>
            <w:tcW w:w="1727" w:type="dxa"/>
            <w:hideMark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099" w:type="dxa"/>
            <w:gridSpan w:val="3"/>
          </w:tcPr>
          <w:p w:rsidR="005D794D" w:rsidRPr="001C03E7" w:rsidRDefault="007C06C3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المحاسبة عن الموجودات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الثابتة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مفهوم الموجودات الثابتة ، خصائصها</w:t>
            </w:r>
          </w:p>
        </w:tc>
      </w:tr>
      <w:tr w:rsidR="005D794D" w:rsidRPr="001C03E7" w:rsidTr="00095493">
        <w:trPr>
          <w:jc w:val="center"/>
        </w:trPr>
        <w:tc>
          <w:tcPr>
            <w:tcW w:w="1727" w:type="dxa"/>
            <w:hideMark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</w:tcPr>
          <w:p w:rsidR="005D794D" w:rsidRPr="001C03E7" w:rsidRDefault="007C06C3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طرق الحصول على الموجودات الثابتة</w:t>
            </w:r>
          </w:p>
        </w:tc>
      </w:tr>
      <w:tr w:rsidR="005D794D" w:rsidRPr="001C03E7" w:rsidTr="00095493">
        <w:trPr>
          <w:jc w:val="center"/>
        </w:trPr>
        <w:tc>
          <w:tcPr>
            <w:tcW w:w="1727" w:type="dxa"/>
            <w:hideMark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099" w:type="dxa"/>
            <w:gridSpan w:val="3"/>
          </w:tcPr>
          <w:p w:rsidR="005D794D" w:rsidRPr="001C03E7" w:rsidRDefault="00F618E5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اندثار الموجودات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الثابتة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طرق احتساب الاندثار ، واثباته في السجلات</w:t>
            </w:r>
          </w:p>
        </w:tc>
      </w:tr>
      <w:tr w:rsidR="005D794D" w:rsidRPr="001C03E7" w:rsidTr="00095493">
        <w:trPr>
          <w:jc w:val="center"/>
        </w:trPr>
        <w:tc>
          <w:tcPr>
            <w:tcW w:w="1727" w:type="dxa"/>
            <w:hideMark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099" w:type="dxa"/>
            <w:gridSpan w:val="3"/>
          </w:tcPr>
          <w:p w:rsidR="005D794D" w:rsidRPr="001C03E7" w:rsidRDefault="00F618E5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طرق التخلص من الموجودات الثابتة</w:t>
            </w:r>
          </w:p>
        </w:tc>
      </w:tr>
      <w:tr w:rsidR="005D794D" w:rsidRPr="001C03E7" w:rsidTr="00095493">
        <w:trPr>
          <w:jc w:val="center"/>
        </w:trPr>
        <w:tc>
          <w:tcPr>
            <w:tcW w:w="1727" w:type="dxa"/>
            <w:hideMark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</w:tcPr>
          <w:p w:rsidR="005D794D" w:rsidRPr="001C03E7" w:rsidRDefault="00A42598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المحاسبة عن الموجودات غير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الملموسة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مفهوم الموجودات غير الملموسة</w:t>
            </w:r>
          </w:p>
        </w:tc>
      </w:tr>
      <w:tr w:rsidR="005D794D" w:rsidRPr="001C03E7" w:rsidTr="00095493">
        <w:trPr>
          <w:jc w:val="center"/>
        </w:trPr>
        <w:tc>
          <w:tcPr>
            <w:tcW w:w="1727" w:type="dxa"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099" w:type="dxa"/>
            <w:gridSpan w:val="3"/>
          </w:tcPr>
          <w:p w:rsidR="005D794D" w:rsidRPr="001C03E7" w:rsidRDefault="00A42598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طرق الحصول على الموجودات غير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الملموسة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واحتساب الإطفاء </w:t>
            </w:r>
            <w:proofErr w:type="spell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واالمعالجة</w:t>
            </w:r>
            <w:proofErr w:type="spell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المحاسبية له.</w:t>
            </w:r>
          </w:p>
        </w:tc>
      </w:tr>
      <w:tr w:rsidR="005D794D" w:rsidRPr="001C03E7" w:rsidTr="00095493">
        <w:trPr>
          <w:jc w:val="center"/>
        </w:trPr>
        <w:tc>
          <w:tcPr>
            <w:tcW w:w="1727" w:type="dxa"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</w:tcPr>
          <w:p w:rsidR="005D794D" w:rsidRPr="001C03E7" w:rsidRDefault="00A42598" w:rsidP="005D794D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المحاسبة عن المطلوبات  ، </w:t>
            </w:r>
            <w:bookmarkStart w:id="0" w:name="_GoBack"/>
            <w:bookmarkEnd w:id="0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المطلوبات المحتملة</w:t>
            </w:r>
          </w:p>
        </w:tc>
      </w:tr>
    </w:tbl>
    <w:p w:rsidR="00FC770A" w:rsidRPr="001C03E7" w:rsidRDefault="00FC770A">
      <w:pPr>
        <w:rPr>
          <w:rFonts w:ascii="Traditional Arabic" w:hAnsi="Traditional Arabic" w:cs="Traditional Arabic"/>
        </w:rPr>
      </w:pPr>
    </w:p>
    <w:sectPr w:rsidR="00FC770A" w:rsidRPr="001C03E7" w:rsidSect="007D1ED0">
      <w:headerReference w:type="default" r:id="rId7"/>
      <w:pgSz w:w="11906" w:h="16838"/>
      <w:pgMar w:top="42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C77" w:rsidRDefault="00C77C77" w:rsidP="007D1ED0">
      <w:pPr>
        <w:spacing w:after="0" w:line="240" w:lineRule="auto"/>
      </w:pPr>
      <w:r>
        <w:separator/>
      </w:r>
    </w:p>
  </w:endnote>
  <w:endnote w:type="continuationSeparator" w:id="0">
    <w:p w:rsidR="00C77C77" w:rsidRDefault="00C77C77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Frutiger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C77" w:rsidRDefault="00C77C77" w:rsidP="007D1ED0">
      <w:pPr>
        <w:spacing w:after="0" w:line="240" w:lineRule="auto"/>
      </w:pPr>
      <w:r>
        <w:separator/>
      </w:r>
    </w:p>
  </w:footnote>
  <w:footnote w:type="continuationSeparator" w:id="0">
    <w:p w:rsidR="00C77C77" w:rsidRDefault="00C77C77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6057133E" wp14:editId="078A230B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D0"/>
    <w:rsid w:val="000711BE"/>
    <w:rsid w:val="00076E07"/>
    <w:rsid w:val="00085509"/>
    <w:rsid w:val="00095493"/>
    <w:rsid w:val="000B0F2B"/>
    <w:rsid w:val="000C5815"/>
    <w:rsid w:val="00197AD2"/>
    <w:rsid w:val="001B0E84"/>
    <w:rsid w:val="001B1D0B"/>
    <w:rsid w:val="001C03E7"/>
    <w:rsid w:val="00232C90"/>
    <w:rsid w:val="00252378"/>
    <w:rsid w:val="003308A1"/>
    <w:rsid w:val="00393AA8"/>
    <w:rsid w:val="00397A03"/>
    <w:rsid w:val="003C3785"/>
    <w:rsid w:val="00410129"/>
    <w:rsid w:val="004A420D"/>
    <w:rsid w:val="0051048E"/>
    <w:rsid w:val="00536CD6"/>
    <w:rsid w:val="00577A02"/>
    <w:rsid w:val="005819E8"/>
    <w:rsid w:val="005C41FD"/>
    <w:rsid w:val="005D794D"/>
    <w:rsid w:val="00650CDB"/>
    <w:rsid w:val="00672C85"/>
    <w:rsid w:val="0071028E"/>
    <w:rsid w:val="00734F08"/>
    <w:rsid w:val="007478DF"/>
    <w:rsid w:val="007C06C3"/>
    <w:rsid w:val="007D1ED0"/>
    <w:rsid w:val="00856C6B"/>
    <w:rsid w:val="0088457C"/>
    <w:rsid w:val="008932A4"/>
    <w:rsid w:val="008B00B3"/>
    <w:rsid w:val="008F06F7"/>
    <w:rsid w:val="008F5EEB"/>
    <w:rsid w:val="00931BBA"/>
    <w:rsid w:val="009C1CD3"/>
    <w:rsid w:val="00A42598"/>
    <w:rsid w:val="00B02D74"/>
    <w:rsid w:val="00B54F9B"/>
    <w:rsid w:val="00BB3E5A"/>
    <w:rsid w:val="00C77C77"/>
    <w:rsid w:val="00CB39AC"/>
    <w:rsid w:val="00CE1C95"/>
    <w:rsid w:val="00D0592B"/>
    <w:rsid w:val="00D1537F"/>
    <w:rsid w:val="00D7717A"/>
    <w:rsid w:val="00DB30B7"/>
    <w:rsid w:val="00E829E1"/>
    <w:rsid w:val="00EB6ABB"/>
    <w:rsid w:val="00F618E5"/>
    <w:rsid w:val="00FC10C7"/>
    <w:rsid w:val="00FC770A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78B04A6-1B29-4928-A201-D23C31FC0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DFA01-1741-424D-9883-3EE851270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9</cp:revision>
  <cp:lastPrinted>2011-10-01T18:01:00Z</cp:lastPrinted>
  <dcterms:created xsi:type="dcterms:W3CDTF">2015-09-29T13:58:00Z</dcterms:created>
  <dcterms:modified xsi:type="dcterms:W3CDTF">2015-09-29T16:12:00Z</dcterms:modified>
</cp:coreProperties>
</file>